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233" w:rsidRDefault="005C6233" w:rsidP="005C6233">
      <w:pPr>
        <w:spacing w:after="0"/>
        <w:jc w:val="center"/>
        <w:rPr>
          <w:b/>
          <w:sz w:val="28"/>
          <w:szCs w:val="28"/>
          <w:lang w:bidi="de-DE"/>
        </w:rPr>
      </w:pPr>
      <w:bookmarkStart w:id="0" w:name="_GoBack"/>
      <w:bookmarkEnd w:id="0"/>
      <w:r w:rsidRPr="00211F59">
        <w:rPr>
          <w:b/>
          <w:sz w:val="28"/>
          <w:szCs w:val="28"/>
          <w:lang w:bidi="de-DE"/>
        </w:rPr>
        <w:t>Richtlinie für flexible SIOC (Ship in Own Container)</w:t>
      </w:r>
    </w:p>
    <w:p w:rsidR="00084193" w:rsidRPr="00084193" w:rsidRDefault="00084193" w:rsidP="005C6233">
      <w:pPr>
        <w:spacing w:after="0"/>
        <w:jc w:val="center"/>
        <w:rPr>
          <w:b/>
          <w:i/>
          <w:sz w:val="24"/>
          <w:szCs w:val="28"/>
        </w:rPr>
      </w:pPr>
      <w:r w:rsidRPr="002C5FA2">
        <w:rPr>
          <w:rStyle w:val="rynqvb"/>
          <w:i/>
          <w:sz w:val="20"/>
        </w:rPr>
        <w:t>Aktualisiert am 2. März 2023</w:t>
      </w:r>
    </w:p>
    <w:p w:rsidR="005C6233" w:rsidRPr="00211F59" w:rsidRDefault="005C6233" w:rsidP="005C6233">
      <w:pPr>
        <w:spacing w:after="0"/>
      </w:pPr>
    </w:p>
    <w:p w:rsidR="005C6233" w:rsidRDefault="005C6233" w:rsidP="005C6233">
      <w:pPr>
        <w:spacing w:after="0"/>
        <w:jc w:val="both"/>
        <w:rPr>
          <w:b/>
          <w:sz w:val="24"/>
          <w:szCs w:val="24"/>
        </w:rPr>
      </w:pPr>
      <w:r>
        <w:rPr>
          <w:b/>
          <w:sz w:val="24"/>
          <w:szCs w:val="24"/>
          <w:lang w:bidi="de-DE"/>
        </w:rPr>
        <w:t>Einleitung</w:t>
      </w:r>
    </w:p>
    <w:p w:rsidR="005C6233" w:rsidRPr="004A49D2" w:rsidRDefault="005C6233" w:rsidP="005C6233">
      <w:pPr>
        <w:spacing w:after="0"/>
        <w:jc w:val="both"/>
      </w:pPr>
      <w:r>
        <w:rPr>
          <w:lang w:bidi="de-DE"/>
        </w:rPr>
        <w:t>Flexible</w:t>
      </w:r>
      <w:r w:rsidRPr="004A49D2">
        <w:rPr>
          <w:lang w:bidi="de-DE"/>
        </w:rPr>
        <w:t xml:space="preserve"> SIOC ist eine Erweiterung unseres bestehend</w:t>
      </w:r>
      <w:r>
        <w:rPr>
          <w:lang w:bidi="de-DE"/>
        </w:rPr>
        <w:t xml:space="preserve">en </w:t>
      </w:r>
      <w:hyperlink r:id="rId5" w:history="1">
        <w:r w:rsidRPr="004A49D2">
          <w:rPr>
            <w:rStyle w:val="Hyperlink"/>
            <w:lang w:bidi="de-DE"/>
          </w:rPr>
          <w:t>Ships In Own Container</w:t>
        </w:r>
      </w:hyperlink>
      <w:r w:rsidRPr="004A49D2">
        <w:rPr>
          <w:lang w:bidi="de-DE"/>
        </w:rPr>
        <w:t xml:space="preserve"> (SIOC)-Programms um Artikel in flexiblen Verpackungen (z. B. Beutel) </w:t>
      </w:r>
      <w:r>
        <w:rPr>
          <w:lang w:bidi="de-DE"/>
        </w:rPr>
        <w:t xml:space="preserve">zu </w:t>
      </w:r>
      <w:r w:rsidRPr="004A49D2">
        <w:rPr>
          <w:lang w:bidi="de-DE"/>
        </w:rPr>
        <w:t>versend</w:t>
      </w:r>
      <w:r>
        <w:rPr>
          <w:lang w:bidi="de-DE"/>
        </w:rPr>
        <w:t>en</w:t>
      </w:r>
      <w:r w:rsidRPr="004A49D2">
        <w:rPr>
          <w:lang w:bidi="de-DE"/>
        </w:rPr>
        <w:t xml:space="preserve">. </w:t>
      </w:r>
    </w:p>
    <w:p w:rsidR="005C6233" w:rsidRPr="004A49D2" w:rsidRDefault="005C6233" w:rsidP="005C6233">
      <w:pPr>
        <w:spacing w:after="0"/>
        <w:jc w:val="both"/>
      </w:pPr>
    </w:p>
    <w:p w:rsidR="005C6233" w:rsidRDefault="005C6233" w:rsidP="005C6233">
      <w:pPr>
        <w:spacing w:after="0"/>
        <w:jc w:val="both"/>
        <w:rPr>
          <w:b/>
          <w:sz w:val="24"/>
          <w:szCs w:val="24"/>
        </w:rPr>
      </w:pPr>
      <w:r>
        <w:rPr>
          <w:b/>
          <w:sz w:val="24"/>
          <w:szCs w:val="24"/>
          <w:lang w:bidi="de-DE"/>
        </w:rPr>
        <w:t>Testanforderungen</w:t>
      </w:r>
    </w:p>
    <w:p w:rsidR="005C6233" w:rsidRPr="00E30D70" w:rsidRDefault="005C6233" w:rsidP="005C6233">
      <w:pPr>
        <w:spacing w:after="0"/>
        <w:jc w:val="both"/>
      </w:pPr>
      <w:r>
        <w:rPr>
          <w:lang w:bidi="de-DE"/>
        </w:rPr>
        <w:t>Die Tests müssen gemäß den Amazon-Testmethoden durchgeführt werden</w:t>
      </w:r>
      <w:r w:rsidRPr="002C5FA2">
        <w:rPr>
          <w:lang w:bidi="de-DE"/>
        </w:rPr>
        <w:t>. Zerbrechliche, granulare</w:t>
      </w:r>
      <w:r w:rsidR="00084193" w:rsidRPr="002C5FA2">
        <w:rPr>
          <w:lang w:bidi="de-DE"/>
        </w:rPr>
        <w:t xml:space="preserve"> </w:t>
      </w:r>
      <w:r w:rsidR="00084193" w:rsidRPr="002C5FA2">
        <w:rPr>
          <w:rFonts w:cstheme="minorHAnsi"/>
          <w:lang w:bidi="de-DE"/>
        </w:rPr>
        <w:t>≥</w:t>
      </w:r>
      <w:r w:rsidR="00084193" w:rsidRPr="002C5FA2">
        <w:rPr>
          <w:lang w:bidi="de-DE"/>
        </w:rPr>
        <w:t>1</w:t>
      </w:r>
      <w:r w:rsidR="0051790B" w:rsidRPr="002C5FA2">
        <w:rPr>
          <w:lang w:bidi="de-DE"/>
        </w:rPr>
        <w:t xml:space="preserve"> Zoll</w:t>
      </w:r>
      <w:r w:rsidR="00084193" w:rsidRPr="002C5FA2">
        <w:rPr>
          <w:lang w:bidi="de-DE"/>
        </w:rPr>
        <w:t xml:space="preserve"> (25,4</w:t>
      </w:r>
      <w:r w:rsidR="0051790B" w:rsidRPr="002C5FA2">
        <w:rPr>
          <w:lang w:bidi="de-DE"/>
        </w:rPr>
        <w:t xml:space="preserve"> </w:t>
      </w:r>
      <w:r w:rsidR="00084193" w:rsidRPr="002C5FA2">
        <w:rPr>
          <w:lang w:bidi="de-DE"/>
        </w:rPr>
        <w:t>mm)</w:t>
      </w:r>
      <w:r w:rsidRPr="002C5FA2">
        <w:rPr>
          <w:lang w:bidi="de-DE"/>
        </w:rPr>
        <w:t>, und/oder scharfkantige Artikel müssen vom</w:t>
      </w:r>
      <w:r>
        <w:rPr>
          <w:lang w:bidi="de-DE"/>
        </w:rPr>
        <w:t xml:space="preserve"> Amazon Packaging Lab oder einem Labor des Amazon Packaging Support and Supplier Network (APASS). Nicht zerbrechliche, nicht granulare, nicht flüssige und/oder nicht scharfkantige Artikel können mit der Prüfmethode vom Hersteller getestet werden, mehr Informationen </w:t>
      </w:r>
      <w:hyperlink r:id="rId6" w:history="1">
        <w:r w:rsidRPr="003654BF">
          <w:rPr>
            <w:rStyle w:val="Hyperlink"/>
            <w:lang w:bidi="de-DE"/>
          </w:rPr>
          <w:t>hier</w:t>
        </w:r>
      </w:hyperlink>
      <w:r>
        <w:rPr>
          <w:lang w:bidi="de-DE"/>
        </w:rPr>
        <w:t>.</w:t>
      </w:r>
    </w:p>
    <w:p w:rsidR="005C6233" w:rsidRPr="00E30D70" w:rsidRDefault="005C6233" w:rsidP="005C6233">
      <w:pPr>
        <w:spacing w:after="0"/>
        <w:jc w:val="both"/>
      </w:pPr>
    </w:p>
    <w:p w:rsidR="005C6233" w:rsidRPr="00D00423" w:rsidRDefault="005C6233" w:rsidP="005C6233">
      <w:pPr>
        <w:spacing w:after="0"/>
        <w:jc w:val="both"/>
        <w:rPr>
          <w:b/>
          <w:sz w:val="24"/>
          <w:szCs w:val="24"/>
        </w:rPr>
      </w:pPr>
      <w:r>
        <w:rPr>
          <w:b/>
          <w:sz w:val="24"/>
          <w:szCs w:val="24"/>
          <w:lang w:bidi="de-DE"/>
        </w:rPr>
        <w:t>Zertifizierungsa</w:t>
      </w:r>
      <w:r w:rsidRPr="00D00423">
        <w:rPr>
          <w:b/>
          <w:sz w:val="24"/>
          <w:szCs w:val="24"/>
          <w:lang w:bidi="de-DE"/>
        </w:rPr>
        <w:t>nforderungen</w:t>
      </w:r>
    </w:p>
    <w:p w:rsidR="005C6233" w:rsidRPr="009F1DE1" w:rsidRDefault="005C6233" w:rsidP="005C6233">
      <w:pPr>
        <w:pStyle w:val="ListParagraph"/>
        <w:numPr>
          <w:ilvl w:val="0"/>
          <w:numId w:val="2"/>
        </w:numPr>
        <w:spacing w:after="0"/>
        <w:jc w:val="both"/>
        <w:rPr>
          <w:b/>
          <w:i/>
        </w:rPr>
      </w:pPr>
      <w:r w:rsidRPr="009F1DE1">
        <w:rPr>
          <w:b/>
          <w:i/>
          <w:lang w:bidi="de-DE"/>
        </w:rPr>
        <w:t>Einschränkungen</w:t>
      </w:r>
    </w:p>
    <w:p w:rsidR="005C6233" w:rsidRDefault="005C6233" w:rsidP="005C6233">
      <w:pPr>
        <w:spacing w:after="0"/>
        <w:jc w:val="both"/>
      </w:pPr>
      <w:r>
        <w:rPr>
          <w:lang w:bidi="de-DE"/>
        </w:rPr>
        <w:t>Die folgenden Artikel können nicht als flexible SIOC versendet werden:</w:t>
      </w:r>
    </w:p>
    <w:p w:rsidR="005C6233" w:rsidRPr="0051016F" w:rsidRDefault="005C6233" w:rsidP="005C6233">
      <w:pPr>
        <w:pStyle w:val="ListParagraph"/>
        <w:numPr>
          <w:ilvl w:val="0"/>
          <w:numId w:val="1"/>
        </w:numPr>
        <w:spacing w:after="0"/>
        <w:jc w:val="both"/>
      </w:pPr>
      <w:r>
        <w:rPr>
          <w:lang w:bidi="de-DE"/>
        </w:rPr>
        <w:t>Artikel, die als Gefahrengut eingestuft sind (z. B. brennbare Gegenstände), m</w:t>
      </w:r>
      <w:r w:rsidRPr="0051016F">
        <w:rPr>
          <w:lang w:bidi="de-DE"/>
        </w:rPr>
        <w:t xml:space="preserve">ehr Informationen </w:t>
      </w:r>
      <w:hyperlink r:id="rId7" w:history="1">
        <w:r>
          <w:rPr>
            <w:rStyle w:val="Hyperlink"/>
          </w:rPr>
          <w:t>hier</w:t>
        </w:r>
      </w:hyperlink>
      <w:r w:rsidRPr="0051016F">
        <w:t>.</w:t>
      </w:r>
    </w:p>
    <w:p w:rsidR="005C6233" w:rsidRDefault="005C6233" w:rsidP="005C6233">
      <w:pPr>
        <w:pStyle w:val="ListParagraph"/>
        <w:numPr>
          <w:ilvl w:val="0"/>
          <w:numId w:val="1"/>
        </w:numPr>
        <w:spacing w:after="0"/>
        <w:jc w:val="both"/>
      </w:pPr>
      <w:r>
        <w:rPr>
          <w:lang w:bidi="de-DE"/>
        </w:rPr>
        <w:t>Magnete oder Gegenstände, die Magnete enthalten</w:t>
      </w:r>
    </w:p>
    <w:p w:rsidR="005C6233" w:rsidRDefault="005C6233" w:rsidP="005C6233">
      <w:pPr>
        <w:pStyle w:val="ListParagraph"/>
        <w:numPr>
          <w:ilvl w:val="0"/>
          <w:numId w:val="1"/>
        </w:numPr>
        <w:spacing w:after="0"/>
        <w:jc w:val="both"/>
      </w:pPr>
      <w:r>
        <w:rPr>
          <w:lang w:bidi="de-DE"/>
        </w:rPr>
        <w:t>Zylindrische oder kugelförmige Artikel und Verpackungen (z. B. Gegenstände, die auf Fördersystemen rollen können).</w:t>
      </w:r>
    </w:p>
    <w:p w:rsidR="005C6233" w:rsidRPr="002C5FA2" w:rsidRDefault="005C6233" w:rsidP="002C5FA2">
      <w:pPr>
        <w:pStyle w:val="ListParagraph"/>
        <w:numPr>
          <w:ilvl w:val="0"/>
          <w:numId w:val="1"/>
        </w:numPr>
        <w:shd w:val="clear" w:color="auto" w:fill="FFFFFF" w:themeFill="background1"/>
        <w:spacing w:after="0"/>
        <w:jc w:val="both"/>
      </w:pPr>
      <w:r w:rsidRPr="002C5FA2">
        <w:rPr>
          <w:lang w:bidi="de-DE"/>
        </w:rPr>
        <w:t>Verpackungen mit Knoten, Schnüre und/oder Bänder</w:t>
      </w:r>
      <w:r w:rsidR="00A672FA" w:rsidRPr="002C5FA2">
        <w:rPr>
          <w:lang w:bidi="de-DE"/>
        </w:rPr>
        <w:t xml:space="preserve"> </w:t>
      </w:r>
      <w:r w:rsidR="00A672FA" w:rsidRPr="002C5FA2">
        <w:t>Verschlussmechanismus</w:t>
      </w:r>
      <w:r w:rsidRPr="002C5FA2">
        <w:rPr>
          <w:lang w:bidi="de-DE"/>
        </w:rPr>
        <w:t xml:space="preserve"> (z. B. Beuteln mit Schnur-, Kordel- oder Seilverschlüssen).</w:t>
      </w:r>
    </w:p>
    <w:p w:rsidR="00084193" w:rsidRPr="002C5FA2" w:rsidRDefault="0051790B" w:rsidP="002C5FA2">
      <w:pPr>
        <w:pStyle w:val="ListParagraph"/>
        <w:numPr>
          <w:ilvl w:val="0"/>
          <w:numId w:val="1"/>
        </w:numPr>
        <w:shd w:val="clear" w:color="auto" w:fill="FFFFFF" w:themeFill="background1"/>
        <w:spacing w:after="0"/>
        <w:jc w:val="both"/>
        <w:rPr>
          <w:rStyle w:val="rynqvb"/>
        </w:rPr>
      </w:pPr>
      <w:r w:rsidRPr="002C5FA2">
        <w:rPr>
          <w:rStyle w:val="rynqvb"/>
        </w:rPr>
        <w:t xml:space="preserve">Granulare </w:t>
      </w:r>
      <w:r w:rsidR="00084193" w:rsidRPr="002C5FA2">
        <w:rPr>
          <w:rStyle w:val="rynqvb"/>
        </w:rPr>
        <w:t>Produkte mit einem Durchmesser von &lt;1 Zoll (25,4 mm) (z.B. Spielsand, Katzenstreu, Kugellager).</w:t>
      </w:r>
    </w:p>
    <w:p w:rsidR="00084193" w:rsidRPr="002C5FA2" w:rsidRDefault="00084193" w:rsidP="002C5FA2">
      <w:pPr>
        <w:pStyle w:val="ListParagraph"/>
        <w:numPr>
          <w:ilvl w:val="0"/>
          <w:numId w:val="1"/>
        </w:numPr>
        <w:shd w:val="clear" w:color="auto" w:fill="FFFFFF" w:themeFill="background1"/>
        <w:spacing w:after="0"/>
        <w:jc w:val="both"/>
        <w:rPr>
          <w:rStyle w:val="rynqvb"/>
        </w:rPr>
      </w:pPr>
      <w:r w:rsidRPr="002C5FA2">
        <w:rPr>
          <w:rStyle w:val="rynqvb"/>
        </w:rPr>
        <w:t>Flüssige Artikel in einem Beutel (z. B. Handseife, Reinigungsmittel, Maschinenschmiermittel).</w:t>
      </w:r>
    </w:p>
    <w:p w:rsidR="00084193" w:rsidRPr="002C5FA2" w:rsidRDefault="00084193" w:rsidP="002C5FA2">
      <w:pPr>
        <w:pStyle w:val="ListParagraph"/>
        <w:numPr>
          <w:ilvl w:val="0"/>
          <w:numId w:val="1"/>
        </w:numPr>
        <w:shd w:val="clear" w:color="auto" w:fill="FFFFFF" w:themeFill="background1"/>
        <w:spacing w:after="0"/>
        <w:jc w:val="both"/>
      </w:pPr>
      <w:r w:rsidRPr="002C5FA2">
        <w:rPr>
          <w:rStyle w:val="rynqvb"/>
        </w:rPr>
        <w:t>Lebensmittel, die für den menschlichen Verzehr bestimmt sind (z. B. Süßigkeiten, Mehl, pürierte Lebensmittel, Fertiggerichte, Getränke).</w:t>
      </w:r>
    </w:p>
    <w:p w:rsidR="005C6233" w:rsidRPr="002C5FA2" w:rsidRDefault="005C6233" w:rsidP="002C5FA2">
      <w:pPr>
        <w:shd w:val="clear" w:color="auto" w:fill="FFFFFF" w:themeFill="background1"/>
        <w:spacing w:after="0"/>
        <w:jc w:val="both"/>
      </w:pPr>
    </w:p>
    <w:p w:rsidR="005C6233" w:rsidRPr="002C5FA2" w:rsidRDefault="005C6233" w:rsidP="002C5FA2">
      <w:pPr>
        <w:pStyle w:val="ListParagraph"/>
        <w:numPr>
          <w:ilvl w:val="0"/>
          <w:numId w:val="2"/>
        </w:numPr>
        <w:shd w:val="clear" w:color="auto" w:fill="FFFFFF" w:themeFill="background1"/>
        <w:spacing w:after="0"/>
        <w:jc w:val="both"/>
        <w:rPr>
          <w:b/>
          <w:i/>
        </w:rPr>
      </w:pPr>
      <w:r w:rsidRPr="002C5FA2">
        <w:rPr>
          <w:b/>
          <w:i/>
          <w:lang w:bidi="de-DE"/>
        </w:rPr>
        <w:t>Empfehlungen</w:t>
      </w:r>
    </w:p>
    <w:p w:rsidR="005C6233" w:rsidRPr="002C5FA2" w:rsidRDefault="005C6233" w:rsidP="002C5FA2">
      <w:pPr>
        <w:shd w:val="clear" w:color="auto" w:fill="FFFFFF" w:themeFill="background1"/>
        <w:spacing w:after="0"/>
        <w:jc w:val="both"/>
      </w:pPr>
      <w:r w:rsidRPr="002C5FA2">
        <w:rPr>
          <w:lang w:bidi="de-DE"/>
        </w:rPr>
        <w:t xml:space="preserve">Wir empfehlen, die Verpackung und das Material so zu gestalten, dass der Inhalt während der Lieferung nicht zu unterscheiden ist, z. B. undurchsichtiges Verpackungsmaterial (siehe Beispiel 1). Diese Empfehlung basiert auf dem Feedback, das wir von unseren Kunden erhalten haben. </w:t>
      </w:r>
    </w:p>
    <w:p w:rsidR="005C6233" w:rsidRPr="002C5FA2" w:rsidRDefault="005C6233" w:rsidP="005C6233">
      <w:pPr>
        <w:spacing w:after="0"/>
        <w:jc w:val="both"/>
      </w:pPr>
    </w:p>
    <w:p w:rsidR="005C6233" w:rsidRPr="002C5FA2" w:rsidRDefault="005C6233" w:rsidP="005C6233">
      <w:pPr>
        <w:pStyle w:val="ListParagraph"/>
        <w:numPr>
          <w:ilvl w:val="0"/>
          <w:numId w:val="2"/>
        </w:numPr>
        <w:spacing w:after="0"/>
        <w:jc w:val="both"/>
        <w:rPr>
          <w:b/>
          <w:i/>
        </w:rPr>
      </w:pPr>
      <w:r w:rsidRPr="002C5FA2">
        <w:rPr>
          <w:b/>
          <w:i/>
          <w:lang w:bidi="de-DE"/>
        </w:rPr>
        <w:t>Konstruktion der Verpackung</w:t>
      </w:r>
    </w:p>
    <w:p w:rsidR="005C6233" w:rsidRDefault="005C6233" w:rsidP="005C6233">
      <w:pPr>
        <w:spacing w:after="0"/>
        <w:jc w:val="both"/>
        <w:rPr>
          <w:rFonts w:cstheme="minorHAnsi"/>
        </w:rPr>
      </w:pPr>
      <w:r w:rsidRPr="002C5FA2">
        <w:rPr>
          <w:lang w:bidi="de-DE"/>
        </w:rPr>
        <w:t xml:space="preserve">Die Außenverpackung muss flexibel sein (z. B. ein Beutel/eine gepolsterte Versandtasche). </w:t>
      </w:r>
      <w:r w:rsidR="00A672FA" w:rsidRPr="002C5FA2">
        <w:rPr>
          <w:rStyle w:val="y2iqfc"/>
        </w:rPr>
        <w:t>Die Außenverpac</w:t>
      </w:r>
      <w:r w:rsidR="00A672FA">
        <w:rPr>
          <w:rStyle w:val="y2iqfc"/>
        </w:rPr>
        <w:t xml:space="preserve">kung muss in der Lage sein, das Produkt während der Sortierung und Verteilung in </w:t>
      </w:r>
      <w:r w:rsidR="00A672FA" w:rsidRPr="00A672FA">
        <w:rPr>
          <w:rStyle w:val="y2iqfc"/>
        </w:rPr>
        <w:t xml:space="preserve">innerhalb </w:t>
      </w:r>
      <w:r w:rsidR="00A672FA">
        <w:rPr>
          <w:rStyle w:val="y2iqfc"/>
        </w:rPr>
        <w:t>der Verpackung zu halten</w:t>
      </w:r>
      <w:r>
        <w:rPr>
          <w:lang w:bidi="de-DE"/>
        </w:rPr>
        <w:t>. Die Materialstärke muss</w:t>
      </w:r>
      <w:r>
        <w:rPr>
          <w:rFonts w:cstheme="minorHAnsi"/>
          <w:lang w:bidi="de-DE"/>
        </w:rPr>
        <w:t xml:space="preserve"> ≥</w:t>
      </w:r>
      <w:r>
        <w:rPr>
          <w:lang w:bidi="de-DE"/>
        </w:rPr>
        <w:t xml:space="preserve"> 2 mil Low Density Polyethylen (LDPE) oder eine nachgewiesene Mindestreißfestigkeit von</w:t>
      </w:r>
      <w:r>
        <w:rPr>
          <w:rFonts w:cstheme="minorHAnsi"/>
          <w:lang w:bidi="de-DE"/>
        </w:rPr>
        <w:t xml:space="preserve"> ≥ 130 Gramm (ASTM D1922) betragen. </w:t>
      </w:r>
    </w:p>
    <w:p w:rsidR="005C6233" w:rsidRDefault="005C6233" w:rsidP="005C6233">
      <w:pPr>
        <w:spacing w:after="0"/>
        <w:jc w:val="both"/>
      </w:pPr>
    </w:p>
    <w:p w:rsidR="005C6233" w:rsidRPr="002C5FA2" w:rsidRDefault="005C6233" w:rsidP="005C6233">
      <w:pPr>
        <w:spacing w:after="0"/>
        <w:jc w:val="both"/>
      </w:pPr>
      <w:r w:rsidRPr="002C5FA2">
        <w:rPr>
          <w:lang w:bidi="de-DE"/>
        </w:rPr>
        <w:t>Das Material darf keine Löcher enthalten, die größer als 0,25“ (6,4 mm) sind. Kleine Belüftungslöcher (</w:t>
      </w:r>
      <w:r w:rsidRPr="002C5FA2">
        <w:rPr>
          <w:rFonts w:cstheme="minorHAnsi"/>
          <w:lang w:bidi="de-DE"/>
        </w:rPr>
        <w:t>≤</w:t>
      </w:r>
      <w:r w:rsidRPr="002C5FA2">
        <w:rPr>
          <w:lang w:bidi="de-DE"/>
        </w:rPr>
        <w:t xml:space="preserve"> 0,25“, 6,4 mm) sind zulässig um Ballonbildung, Schwellung und Durchstechen während der Verteilung zu verhindern. </w:t>
      </w:r>
    </w:p>
    <w:p w:rsidR="005C6233" w:rsidRPr="002C5FA2" w:rsidRDefault="005C6233" w:rsidP="005C6233">
      <w:pPr>
        <w:spacing w:after="0"/>
        <w:jc w:val="both"/>
      </w:pPr>
    </w:p>
    <w:p w:rsidR="005C6233" w:rsidRPr="002C5FA2" w:rsidRDefault="005C6233" w:rsidP="005C6233">
      <w:pPr>
        <w:spacing w:after="0"/>
        <w:jc w:val="both"/>
      </w:pPr>
      <w:r w:rsidRPr="002C5FA2">
        <w:rPr>
          <w:lang w:bidi="de-DE"/>
        </w:rPr>
        <w:t xml:space="preserve">Die Verpackung darf keine hervorstehende Teile enthalten (z. B. Kleiderbügel, Schnappverschlüsse, Tragegriffe, </w:t>
      </w:r>
      <w:r w:rsidR="0051790B" w:rsidRPr="002C5FA2">
        <w:rPr>
          <w:rStyle w:val="rynqvb"/>
        </w:rPr>
        <w:t>Lochaufhänger</w:t>
      </w:r>
      <w:r w:rsidR="00084193" w:rsidRPr="002C5FA2">
        <w:rPr>
          <w:lang w:bidi="de-DE"/>
        </w:rPr>
        <w:t xml:space="preserve">, </w:t>
      </w:r>
      <w:r w:rsidRPr="002C5FA2">
        <w:rPr>
          <w:lang w:bidi="de-DE"/>
        </w:rPr>
        <w:t xml:space="preserve">abstehende Reißverschlüsse usw. siehe Beispiel 2). </w:t>
      </w:r>
    </w:p>
    <w:p w:rsidR="005C6233" w:rsidRPr="002C5FA2" w:rsidRDefault="005C6233" w:rsidP="005C6233">
      <w:pPr>
        <w:spacing w:after="0"/>
        <w:jc w:val="both"/>
      </w:pPr>
    </w:p>
    <w:p w:rsidR="00084193" w:rsidRPr="002C5FA2" w:rsidRDefault="00084193" w:rsidP="005C6233">
      <w:pPr>
        <w:spacing w:after="0"/>
        <w:jc w:val="both"/>
      </w:pPr>
    </w:p>
    <w:p w:rsidR="005C6233" w:rsidRPr="002C5FA2" w:rsidRDefault="005C6233" w:rsidP="005C6233">
      <w:pPr>
        <w:pStyle w:val="ListParagraph"/>
        <w:numPr>
          <w:ilvl w:val="0"/>
          <w:numId w:val="2"/>
        </w:numPr>
        <w:spacing w:after="0"/>
        <w:jc w:val="both"/>
        <w:rPr>
          <w:b/>
          <w:i/>
        </w:rPr>
      </w:pPr>
      <w:r w:rsidRPr="002C5FA2">
        <w:rPr>
          <w:b/>
          <w:i/>
          <w:lang w:bidi="de-DE"/>
        </w:rPr>
        <w:lastRenderedPageBreak/>
        <w:t>Abmessungen und Gewicht der Verpackung</w:t>
      </w:r>
    </w:p>
    <w:p w:rsidR="005C6233" w:rsidRDefault="005C6233" w:rsidP="005C6233">
      <w:pPr>
        <w:spacing w:after="0"/>
        <w:jc w:val="both"/>
      </w:pPr>
      <w:r w:rsidRPr="002C5FA2">
        <w:rPr>
          <w:lang w:bidi="de-DE"/>
        </w:rPr>
        <w:t>Artikel- und Verpackungsabmessungen müssen flachliegend innerhalb der</w:t>
      </w:r>
      <w:r>
        <w:rPr>
          <w:lang w:bidi="de-DE"/>
        </w:rPr>
        <w:t xml:space="preserve"> unten aufgeführten Mindest- und Höchstabmessungen liegen.</w:t>
      </w:r>
    </w:p>
    <w:p w:rsidR="00084193" w:rsidRDefault="00084193" w:rsidP="005C6233">
      <w:pPr>
        <w:spacing w:after="0"/>
        <w:jc w:val="both"/>
      </w:pPr>
    </w:p>
    <w:tbl>
      <w:tblPr>
        <w:tblStyle w:val="TableGrid"/>
        <w:tblW w:w="0" w:type="auto"/>
        <w:tblLook w:val="04A0" w:firstRow="1" w:lastRow="0" w:firstColumn="1" w:lastColumn="0" w:noHBand="0" w:noVBand="1"/>
      </w:tblPr>
      <w:tblGrid>
        <w:gridCol w:w="2337"/>
        <w:gridCol w:w="2338"/>
        <w:gridCol w:w="2337"/>
        <w:gridCol w:w="2338"/>
      </w:tblGrid>
      <w:tr w:rsidR="00084193" w:rsidRPr="00737FD7" w:rsidTr="00E4702C">
        <w:tc>
          <w:tcPr>
            <w:tcW w:w="9350" w:type="dxa"/>
            <w:gridSpan w:val="4"/>
            <w:shd w:val="clear" w:color="auto" w:fill="E7E6E6" w:themeFill="background2"/>
          </w:tcPr>
          <w:p w:rsidR="00084193" w:rsidRPr="00D934FF" w:rsidRDefault="00084193" w:rsidP="00E4702C">
            <w:pPr>
              <w:jc w:val="center"/>
              <w:rPr>
                <w:b/>
              </w:rPr>
            </w:pPr>
            <w:r w:rsidRPr="00D934FF">
              <w:rPr>
                <w:b/>
                <w:lang w:bidi="de-DE"/>
              </w:rPr>
              <w:t>Zulässige Mindestabmessungen</w:t>
            </w:r>
          </w:p>
        </w:tc>
      </w:tr>
      <w:tr w:rsidR="00084193" w:rsidRPr="00737FD7" w:rsidTr="00E4702C">
        <w:tc>
          <w:tcPr>
            <w:tcW w:w="2337" w:type="dxa"/>
          </w:tcPr>
          <w:p w:rsidR="00084193" w:rsidRPr="00084193" w:rsidRDefault="00084193" w:rsidP="00084193">
            <w:pPr>
              <w:jc w:val="both"/>
              <w:rPr>
                <w:b/>
              </w:rPr>
            </w:pPr>
            <w:r w:rsidRPr="00084193">
              <w:rPr>
                <w:rStyle w:val="rynqvb"/>
                <w:b/>
              </w:rPr>
              <w:t>Region</w:t>
            </w:r>
          </w:p>
        </w:tc>
        <w:tc>
          <w:tcPr>
            <w:tcW w:w="2338" w:type="dxa"/>
          </w:tcPr>
          <w:p w:rsidR="00084193" w:rsidRPr="00D934FF" w:rsidRDefault="00084193" w:rsidP="00084193">
            <w:pPr>
              <w:jc w:val="both"/>
              <w:rPr>
                <w:b/>
              </w:rPr>
            </w:pPr>
            <w:r w:rsidRPr="00D934FF">
              <w:rPr>
                <w:b/>
                <w:lang w:bidi="de-DE"/>
              </w:rPr>
              <w:t>Länge</w:t>
            </w:r>
          </w:p>
        </w:tc>
        <w:tc>
          <w:tcPr>
            <w:tcW w:w="2337" w:type="dxa"/>
          </w:tcPr>
          <w:p w:rsidR="00084193" w:rsidRPr="00D934FF" w:rsidRDefault="00084193" w:rsidP="00084193">
            <w:pPr>
              <w:jc w:val="both"/>
              <w:rPr>
                <w:b/>
              </w:rPr>
            </w:pPr>
            <w:r w:rsidRPr="00D934FF">
              <w:rPr>
                <w:b/>
                <w:lang w:bidi="de-DE"/>
              </w:rPr>
              <w:t>Breite</w:t>
            </w:r>
          </w:p>
        </w:tc>
        <w:tc>
          <w:tcPr>
            <w:tcW w:w="2338" w:type="dxa"/>
          </w:tcPr>
          <w:p w:rsidR="00084193" w:rsidRPr="00D934FF" w:rsidRDefault="00084193" w:rsidP="00084193">
            <w:pPr>
              <w:jc w:val="both"/>
              <w:rPr>
                <w:b/>
              </w:rPr>
            </w:pPr>
            <w:r w:rsidRPr="00D934FF">
              <w:rPr>
                <w:b/>
                <w:lang w:bidi="de-DE"/>
              </w:rPr>
              <w:t>Höhe</w:t>
            </w:r>
          </w:p>
        </w:tc>
      </w:tr>
      <w:tr w:rsidR="00084193" w:rsidRPr="00737FD7" w:rsidTr="00E4702C">
        <w:tc>
          <w:tcPr>
            <w:tcW w:w="2337" w:type="dxa"/>
          </w:tcPr>
          <w:p w:rsidR="00084193" w:rsidRDefault="00084193" w:rsidP="00E4702C">
            <w:pPr>
              <w:jc w:val="both"/>
              <w:rPr>
                <w:lang w:bidi="it-IT"/>
              </w:rPr>
            </w:pPr>
            <w:r>
              <w:rPr>
                <w:rStyle w:val="rynqvb"/>
              </w:rPr>
              <w:t>Nordamerika</w:t>
            </w:r>
          </w:p>
        </w:tc>
        <w:tc>
          <w:tcPr>
            <w:tcW w:w="2338" w:type="dxa"/>
          </w:tcPr>
          <w:p w:rsidR="00084193" w:rsidRDefault="00084193" w:rsidP="00E4702C">
            <w:pPr>
              <w:jc w:val="both"/>
            </w:pPr>
            <w:r>
              <w:rPr>
                <w:lang w:bidi="fr-FR"/>
              </w:rPr>
              <w:t>6“ (</w:t>
            </w:r>
            <w:r>
              <w:rPr>
                <w:lang w:bidi="it-IT"/>
              </w:rPr>
              <w:t>15,2 cm</w:t>
            </w:r>
            <w:r>
              <w:rPr>
                <w:lang w:bidi="fr-FR"/>
              </w:rPr>
              <w:t>)</w:t>
            </w:r>
          </w:p>
        </w:tc>
        <w:tc>
          <w:tcPr>
            <w:tcW w:w="2337" w:type="dxa"/>
          </w:tcPr>
          <w:p w:rsidR="00084193" w:rsidRDefault="00084193" w:rsidP="00E4702C">
            <w:pPr>
              <w:jc w:val="both"/>
            </w:pPr>
            <w:r w:rsidRPr="00D934FF">
              <w:rPr>
                <w:lang w:bidi="fr-FR"/>
              </w:rPr>
              <w:t>4</w:t>
            </w:r>
            <w:r>
              <w:rPr>
                <w:lang w:bidi="fr-FR"/>
              </w:rPr>
              <w:t xml:space="preserve">“ </w:t>
            </w:r>
            <w:r w:rsidRPr="00D934FF">
              <w:rPr>
                <w:lang w:bidi="fr-FR"/>
              </w:rPr>
              <w:t>(</w:t>
            </w:r>
            <w:r w:rsidRPr="00D934FF">
              <w:rPr>
                <w:lang w:bidi="it-IT"/>
              </w:rPr>
              <w:t>10</w:t>
            </w:r>
            <w:r>
              <w:rPr>
                <w:lang w:bidi="it-IT"/>
              </w:rPr>
              <w:t>,2</w:t>
            </w:r>
            <w:r w:rsidRPr="00D934FF">
              <w:rPr>
                <w:lang w:bidi="it-IT"/>
              </w:rPr>
              <w:t xml:space="preserve"> </w:t>
            </w:r>
            <w:r>
              <w:rPr>
                <w:lang w:bidi="it-IT"/>
              </w:rPr>
              <w:t>c</w:t>
            </w:r>
            <w:r w:rsidRPr="00D934FF">
              <w:rPr>
                <w:lang w:bidi="it-IT"/>
              </w:rPr>
              <w:t>m</w:t>
            </w:r>
            <w:r w:rsidRPr="00D934FF">
              <w:rPr>
                <w:lang w:bidi="fr-FR"/>
              </w:rPr>
              <w:t>)</w:t>
            </w:r>
          </w:p>
        </w:tc>
        <w:tc>
          <w:tcPr>
            <w:tcW w:w="2338" w:type="dxa"/>
          </w:tcPr>
          <w:p w:rsidR="00084193" w:rsidRDefault="00084193" w:rsidP="00E4702C">
            <w:pPr>
              <w:jc w:val="both"/>
            </w:pPr>
            <w:r w:rsidRPr="00D934FF">
              <w:rPr>
                <w:lang w:bidi="fr-FR"/>
              </w:rPr>
              <w:t xml:space="preserve"> 0,375</w:t>
            </w:r>
            <w:r>
              <w:rPr>
                <w:lang w:bidi="fr-FR"/>
              </w:rPr>
              <w:t>“ (</w:t>
            </w:r>
            <w:r>
              <w:rPr>
                <w:lang w:bidi="it-IT"/>
              </w:rPr>
              <w:t>0,</w:t>
            </w:r>
            <w:r w:rsidRPr="00D934FF">
              <w:rPr>
                <w:lang w:bidi="it-IT"/>
              </w:rPr>
              <w:t xml:space="preserve">95 </w:t>
            </w:r>
            <w:r>
              <w:rPr>
                <w:lang w:bidi="it-IT"/>
              </w:rPr>
              <w:t>c</w:t>
            </w:r>
            <w:r w:rsidRPr="00D934FF">
              <w:rPr>
                <w:lang w:bidi="it-IT"/>
              </w:rPr>
              <w:t>m</w:t>
            </w:r>
            <w:r>
              <w:rPr>
                <w:lang w:bidi="fr-FR"/>
              </w:rPr>
              <w:t>)</w:t>
            </w:r>
          </w:p>
        </w:tc>
      </w:tr>
      <w:tr w:rsidR="00084193" w:rsidRPr="00737FD7" w:rsidTr="00E4702C">
        <w:tc>
          <w:tcPr>
            <w:tcW w:w="2337" w:type="dxa"/>
          </w:tcPr>
          <w:p w:rsidR="00084193" w:rsidRDefault="00084193" w:rsidP="00084193">
            <w:pPr>
              <w:jc w:val="both"/>
              <w:rPr>
                <w:lang w:bidi="it-IT"/>
              </w:rPr>
            </w:pPr>
            <w:r>
              <w:rPr>
                <w:rStyle w:val="rynqvb"/>
              </w:rPr>
              <w:t>Europa</w:t>
            </w:r>
          </w:p>
        </w:tc>
        <w:tc>
          <w:tcPr>
            <w:tcW w:w="2338" w:type="dxa"/>
          </w:tcPr>
          <w:p w:rsidR="00084193" w:rsidRDefault="00084193" w:rsidP="00084193">
            <w:pPr>
              <w:jc w:val="both"/>
            </w:pPr>
            <w:r>
              <w:rPr>
                <w:lang w:bidi="fr-FR"/>
              </w:rPr>
              <w:t>6“ (</w:t>
            </w:r>
            <w:r>
              <w:rPr>
                <w:lang w:bidi="it-IT"/>
              </w:rPr>
              <w:t>15,2 cm</w:t>
            </w:r>
            <w:r>
              <w:rPr>
                <w:lang w:bidi="fr-FR"/>
              </w:rPr>
              <w:t>)</w:t>
            </w:r>
          </w:p>
        </w:tc>
        <w:tc>
          <w:tcPr>
            <w:tcW w:w="2337" w:type="dxa"/>
          </w:tcPr>
          <w:p w:rsidR="00084193" w:rsidRDefault="00084193" w:rsidP="00084193">
            <w:pPr>
              <w:jc w:val="both"/>
            </w:pPr>
            <w:r w:rsidRPr="00D934FF">
              <w:rPr>
                <w:lang w:bidi="fr-FR"/>
              </w:rPr>
              <w:t>4</w:t>
            </w:r>
            <w:r>
              <w:rPr>
                <w:lang w:bidi="fr-FR"/>
              </w:rPr>
              <w:t xml:space="preserve">“ </w:t>
            </w:r>
            <w:r w:rsidRPr="00D934FF">
              <w:rPr>
                <w:lang w:bidi="fr-FR"/>
              </w:rPr>
              <w:t>(</w:t>
            </w:r>
            <w:r w:rsidRPr="00D934FF">
              <w:rPr>
                <w:lang w:bidi="it-IT"/>
              </w:rPr>
              <w:t>10</w:t>
            </w:r>
            <w:r>
              <w:rPr>
                <w:lang w:bidi="it-IT"/>
              </w:rPr>
              <w:t>,2</w:t>
            </w:r>
            <w:r w:rsidRPr="00D934FF">
              <w:rPr>
                <w:lang w:bidi="it-IT"/>
              </w:rPr>
              <w:t xml:space="preserve"> </w:t>
            </w:r>
            <w:r>
              <w:rPr>
                <w:lang w:bidi="it-IT"/>
              </w:rPr>
              <w:t>c</w:t>
            </w:r>
            <w:r w:rsidRPr="00D934FF">
              <w:rPr>
                <w:lang w:bidi="it-IT"/>
              </w:rPr>
              <w:t>m</w:t>
            </w:r>
            <w:r w:rsidRPr="00D934FF">
              <w:rPr>
                <w:lang w:bidi="fr-FR"/>
              </w:rPr>
              <w:t>)</w:t>
            </w:r>
          </w:p>
        </w:tc>
        <w:tc>
          <w:tcPr>
            <w:tcW w:w="2338" w:type="dxa"/>
          </w:tcPr>
          <w:p w:rsidR="00084193" w:rsidRDefault="00084193" w:rsidP="00084193">
            <w:pPr>
              <w:jc w:val="both"/>
            </w:pPr>
            <w:r w:rsidRPr="00D934FF">
              <w:rPr>
                <w:lang w:bidi="fr-FR"/>
              </w:rPr>
              <w:t xml:space="preserve"> 0,375</w:t>
            </w:r>
            <w:r>
              <w:rPr>
                <w:lang w:bidi="fr-FR"/>
              </w:rPr>
              <w:t>“ (</w:t>
            </w:r>
            <w:r>
              <w:rPr>
                <w:lang w:bidi="it-IT"/>
              </w:rPr>
              <w:t>0,</w:t>
            </w:r>
            <w:r w:rsidRPr="00D934FF">
              <w:rPr>
                <w:lang w:bidi="it-IT"/>
              </w:rPr>
              <w:t xml:space="preserve">95 </w:t>
            </w:r>
            <w:r>
              <w:rPr>
                <w:lang w:bidi="it-IT"/>
              </w:rPr>
              <w:t>c</w:t>
            </w:r>
            <w:r w:rsidRPr="00D934FF">
              <w:rPr>
                <w:lang w:bidi="it-IT"/>
              </w:rPr>
              <w:t>m</w:t>
            </w:r>
            <w:r>
              <w:rPr>
                <w:lang w:bidi="fr-FR"/>
              </w:rPr>
              <w:t>)</w:t>
            </w:r>
          </w:p>
        </w:tc>
      </w:tr>
    </w:tbl>
    <w:p w:rsidR="00084193" w:rsidRDefault="00084193" w:rsidP="00084193">
      <w:pPr>
        <w:spacing w:after="0"/>
        <w:jc w:val="both"/>
      </w:pPr>
    </w:p>
    <w:tbl>
      <w:tblPr>
        <w:tblStyle w:val="TableGrid"/>
        <w:tblW w:w="10885" w:type="dxa"/>
        <w:jc w:val="center"/>
        <w:tblLook w:val="04A0" w:firstRow="1" w:lastRow="0" w:firstColumn="1" w:lastColumn="0" w:noHBand="0" w:noVBand="1"/>
      </w:tblPr>
      <w:tblGrid>
        <w:gridCol w:w="955"/>
        <w:gridCol w:w="1699"/>
        <w:gridCol w:w="1611"/>
        <w:gridCol w:w="1699"/>
        <w:gridCol w:w="1747"/>
        <w:gridCol w:w="1692"/>
        <w:gridCol w:w="1482"/>
      </w:tblGrid>
      <w:tr w:rsidR="00084193" w:rsidRPr="00271A90" w:rsidTr="00E4702C">
        <w:trPr>
          <w:jc w:val="center"/>
        </w:trPr>
        <w:tc>
          <w:tcPr>
            <w:tcW w:w="10885" w:type="dxa"/>
            <w:gridSpan w:val="7"/>
            <w:shd w:val="clear" w:color="auto" w:fill="E7E6E6" w:themeFill="background2"/>
          </w:tcPr>
          <w:p w:rsidR="00084193" w:rsidRPr="00271A90" w:rsidRDefault="00084193" w:rsidP="00E4702C">
            <w:pPr>
              <w:jc w:val="center"/>
              <w:rPr>
                <w:b/>
                <w:sz w:val="23"/>
                <w:szCs w:val="23"/>
              </w:rPr>
            </w:pPr>
            <w:r>
              <w:rPr>
                <w:b/>
                <w:lang w:bidi="de-DE"/>
              </w:rPr>
              <w:t>Maximal zulässige Verpackungsabmessungen</w:t>
            </w:r>
          </w:p>
        </w:tc>
      </w:tr>
      <w:tr w:rsidR="00084193" w:rsidRPr="00737FD7" w:rsidTr="00E4702C">
        <w:trPr>
          <w:jc w:val="center"/>
        </w:trPr>
        <w:tc>
          <w:tcPr>
            <w:tcW w:w="955" w:type="dxa"/>
          </w:tcPr>
          <w:p w:rsidR="00084193" w:rsidRPr="00FC63FD" w:rsidRDefault="00084193" w:rsidP="00084193">
            <w:pPr>
              <w:jc w:val="both"/>
              <w:rPr>
                <w:b/>
              </w:rPr>
            </w:pPr>
            <w:r>
              <w:rPr>
                <w:b/>
              </w:rPr>
              <w:t>Region</w:t>
            </w:r>
          </w:p>
        </w:tc>
        <w:tc>
          <w:tcPr>
            <w:tcW w:w="1699" w:type="dxa"/>
          </w:tcPr>
          <w:p w:rsidR="00084193" w:rsidRPr="00D934FF" w:rsidRDefault="00084193" w:rsidP="00084193">
            <w:pPr>
              <w:jc w:val="both"/>
              <w:rPr>
                <w:b/>
              </w:rPr>
            </w:pPr>
            <w:r w:rsidRPr="00D934FF">
              <w:rPr>
                <w:b/>
                <w:lang w:bidi="de-DE"/>
              </w:rPr>
              <w:t>Länge</w:t>
            </w:r>
          </w:p>
        </w:tc>
        <w:tc>
          <w:tcPr>
            <w:tcW w:w="1611" w:type="dxa"/>
          </w:tcPr>
          <w:p w:rsidR="00084193" w:rsidRPr="00D934FF" w:rsidRDefault="00084193" w:rsidP="00084193">
            <w:pPr>
              <w:jc w:val="both"/>
              <w:rPr>
                <w:b/>
              </w:rPr>
            </w:pPr>
            <w:r w:rsidRPr="00D934FF">
              <w:rPr>
                <w:b/>
                <w:lang w:bidi="de-DE"/>
              </w:rPr>
              <w:t>Breite</w:t>
            </w:r>
          </w:p>
        </w:tc>
        <w:tc>
          <w:tcPr>
            <w:tcW w:w="1699" w:type="dxa"/>
          </w:tcPr>
          <w:p w:rsidR="00084193" w:rsidRPr="00D934FF" w:rsidRDefault="00084193" w:rsidP="00084193">
            <w:pPr>
              <w:jc w:val="both"/>
              <w:rPr>
                <w:b/>
              </w:rPr>
            </w:pPr>
            <w:r w:rsidRPr="00D934FF">
              <w:rPr>
                <w:b/>
                <w:lang w:bidi="de-DE"/>
              </w:rPr>
              <w:t>Höhe</w:t>
            </w:r>
          </w:p>
        </w:tc>
        <w:tc>
          <w:tcPr>
            <w:tcW w:w="1747" w:type="dxa"/>
          </w:tcPr>
          <w:p w:rsidR="00084193" w:rsidRPr="00084193" w:rsidRDefault="00084193" w:rsidP="00084193">
            <w:pPr>
              <w:rPr>
                <w:b/>
              </w:rPr>
            </w:pPr>
            <w:r w:rsidRPr="00084193">
              <w:rPr>
                <w:b/>
                <w:lang w:bidi="de-DE"/>
              </w:rPr>
              <w:t>Länge</w:t>
            </w:r>
            <w:r w:rsidRPr="00084193">
              <w:rPr>
                <w:rFonts w:eastAsia="Times New Roman"/>
                <w:b/>
              </w:rPr>
              <w:t xml:space="preserve"> + </w:t>
            </w:r>
            <w:r w:rsidRPr="00084193">
              <w:rPr>
                <w:b/>
                <w:lang w:bidi="de-DE"/>
              </w:rPr>
              <w:t>Höhe</w:t>
            </w:r>
          </w:p>
        </w:tc>
        <w:tc>
          <w:tcPr>
            <w:tcW w:w="1692" w:type="dxa"/>
          </w:tcPr>
          <w:p w:rsidR="00084193" w:rsidRPr="00084193" w:rsidRDefault="00084193" w:rsidP="00084193">
            <w:pPr>
              <w:rPr>
                <w:b/>
              </w:rPr>
            </w:pPr>
            <w:r w:rsidRPr="00084193">
              <w:rPr>
                <w:b/>
                <w:lang w:bidi="de-DE"/>
              </w:rPr>
              <w:t>Breite</w:t>
            </w:r>
            <w:r w:rsidRPr="00084193">
              <w:rPr>
                <w:rFonts w:eastAsia="Times New Roman"/>
                <w:b/>
              </w:rPr>
              <w:t xml:space="preserve"> + </w:t>
            </w:r>
            <w:r w:rsidRPr="00084193">
              <w:rPr>
                <w:b/>
                <w:lang w:bidi="de-DE"/>
              </w:rPr>
              <w:t>Höhe</w:t>
            </w:r>
          </w:p>
        </w:tc>
        <w:tc>
          <w:tcPr>
            <w:tcW w:w="1482" w:type="dxa"/>
          </w:tcPr>
          <w:p w:rsidR="00084193" w:rsidRPr="00737FD7" w:rsidRDefault="00084193" w:rsidP="00084193">
            <w:pPr>
              <w:jc w:val="both"/>
              <w:rPr>
                <w:b/>
              </w:rPr>
            </w:pPr>
            <w:r w:rsidRPr="00084193">
              <w:rPr>
                <w:rStyle w:val="rynqvb"/>
                <w:b/>
              </w:rPr>
              <w:t>Gewicht</w:t>
            </w:r>
            <w:r>
              <w:rPr>
                <w:b/>
              </w:rPr>
              <w:t>*</w:t>
            </w:r>
          </w:p>
        </w:tc>
      </w:tr>
      <w:tr w:rsidR="00084193" w:rsidRPr="00737FD7" w:rsidTr="00E4702C">
        <w:trPr>
          <w:jc w:val="center"/>
        </w:trPr>
        <w:tc>
          <w:tcPr>
            <w:tcW w:w="955" w:type="dxa"/>
          </w:tcPr>
          <w:p w:rsidR="00084193" w:rsidRDefault="00084193" w:rsidP="00E4702C">
            <w:pPr>
              <w:jc w:val="both"/>
              <w:rPr>
                <w:lang w:bidi="it-IT"/>
              </w:rPr>
            </w:pPr>
            <w:r>
              <w:rPr>
                <w:rStyle w:val="rynqvb"/>
              </w:rPr>
              <w:t>NA</w:t>
            </w:r>
          </w:p>
        </w:tc>
        <w:tc>
          <w:tcPr>
            <w:tcW w:w="1699" w:type="dxa"/>
          </w:tcPr>
          <w:p w:rsidR="00084193" w:rsidRPr="00737FD7" w:rsidRDefault="00084193" w:rsidP="00E4702C">
            <w:pPr>
              <w:jc w:val="both"/>
            </w:pPr>
            <w:r w:rsidRPr="00737FD7">
              <w:t>18</w:t>
            </w:r>
            <w:r>
              <w:t>“</w:t>
            </w:r>
            <w:r w:rsidRPr="00737FD7">
              <w:t xml:space="preserve"> (45</w:t>
            </w:r>
            <w:r>
              <w:t>,</w:t>
            </w:r>
            <w:r w:rsidRPr="00737FD7">
              <w:t>7</w:t>
            </w:r>
            <w:r>
              <w:t>c</w:t>
            </w:r>
            <w:r w:rsidRPr="00737FD7">
              <w:t>m)</w:t>
            </w:r>
          </w:p>
        </w:tc>
        <w:tc>
          <w:tcPr>
            <w:tcW w:w="1611" w:type="dxa"/>
          </w:tcPr>
          <w:p w:rsidR="00084193" w:rsidRPr="00737FD7" w:rsidRDefault="00084193" w:rsidP="00E4702C">
            <w:pPr>
              <w:jc w:val="both"/>
            </w:pPr>
            <w:r w:rsidRPr="00737FD7">
              <w:t>14</w:t>
            </w:r>
            <w:r>
              <w:t>“</w:t>
            </w:r>
            <w:r w:rsidRPr="00737FD7">
              <w:t xml:space="preserve"> (35</w:t>
            </w:r>
            <w:r>
              <w:t>,6c</w:t>
            </w:r>
            <w:r w:rsidRPr="00737FD7">
              <w:t>m)</w:t>
            </w:r>
          </w:p>
        </w:tc>
        <w:tc>
          <w:tcPr>
            <w:tcW w:w="1699" w:type="dxa"/>
          </w:tcPr>
          <w:p w:rsidR="00084193" w:rsidRPr="00737FD7" w:rsidRDefault="00084193" w:rsidP="00E4702C">
            <w:pPr>
              <w:jc w:val="both"/>
            </w:pPr>
            <w:r w:rsidRPr="00737FD7">
              <w:t>6</w:t>
            </w:r>
            <w:r>
              <w:t>“</w:t>
            </w:r>
            <w:r w:rsidRPr="00737FD7">
              <w:t xml:space="preserve"> (15</w:t>
            </w:r>
            <w:r>
              <w:t>,</w:t>
            </w:r>
            <w:r w:rsidRPr="00737FD7">
              <w:t>2</w:t>
            </w:r>
            <w:r>
              <w:t>c</w:t>
            </w:r>
            <w:r w:rsidRPr="00737FD7">
              <w:t>m)</w:t>
            </w:r>
          </w:p>
        </w:tc>
        <w:tc>
          <w:tcPr>
            <w:tcW w:w="1747" w:type="dxa"/>
          </w:tcPr>
          <w:p w:rsidR="00084193" w:rsidRPr="00737FD7" w:rsidRDefault="00084193" w:rsidP="00E4702C">
            <w:pPr>
              <w:jc w:val="both"/>
            </w:pPr>
            <w:r w:rsidRPr="00737FD7">
              <w:rPr>
                <w:rFonts w:eastAsia="Times New Roman" w:cstheme="minorHAnsi"/>
              </w:rPr>
              <w:t>≤</w:t>
            </w:r>
            <w:r w:rsidRPr="00737FD7">
              <w:rPr>
                <w:rFonts w:eastAsia="Times New Roman"/>
              </w:rPr>
              <w:t xml:space="preserve"> 21</w:t>
            </w:r>
            <w:r>
              <w:rPr>
                <w:rFonts w:eastAsia="Times New Roman"/>
              </w:rPr>
              <w:t>“</w:t>
            </w:r>
            <w:r w:rsidRPr="00737FD7">
              <w:rPr>
                <w:rFonts w:eastAsia="Times New Roman"/>
              </w:rPr>
              <w:t xml:space="preserve"> (53</w:t>
            </w:r>
            <w:r>
              <w:rPr>
                <w:rFonts w:eastAsia="Times New Roman"/>
              </w:rPr>
              <w:t>,3c</w:t>
            </w:r>
            <w:r w:rsidRPr="00737FD7">
              <w:rPr>
                <w:rFonts w:eastAsia="Times New Roman"/>
              </w:rPr>
              <w:t>m)</w:t>
            </w:r>
          </w:p>
        </w:tc>
        <w:tc>
          <w:tcPr>
            <w:tcW w:w="1692" w:type="dxa"/>
          </w:tcPr>
          <w:p w:rsidR="00084193" w:rsidRPr="00737FD7" w:rsidRDefault="00084193" w:rsidP="00E4702C">
            <w:pPr>
              <w:jc w:val="both"/>
            </w:pPr>
            <w:r w:rsidRPr="00737FD7">
              <w:rPr>
                <w:rFonts w:eastAsia="Times New Roman" w:cstheme="minorHAnsi"/>
              </w:rPr>
              <w:t>≤</w:t>
            </w:r>
            <w:r w:rsidRPr="00737FD7">
              <w:rPr>
                <w:rFonts w:eastAsia="Times New Roman"/>
              </w:rPr>
              <w:t xml:space="preserve"> 16</w:t>
            </w:r>
            <w:r>
              <w:rPr>
                <w:rFonts w:eastAsia="Times New Roman"/>
              </w:rPr>
              <w:t>“</w:t>
            </w:r>
            <w:r w:rsidRPr="00737FD7">
              <w:rPr>
                <w:rFonts w:eastAsia="Times New Roman"/>
              </w:rPr>
              <w:t xml:space="preserve"> (40</w:t>
            </w:r>
            <w:r>
              <w:rPr>
                <w:rFonts w:eastAsia="Times New Roman"/>
              </w:rPr>
              <w:t>,</w:t>
            </w:r>
            <w:r w:rsidRPr="00737FD7">
              <w:rPr>
                <w:rFonts w:eastAsia="Times New Roman"/>
              </w:rPr>
              <w:t>6</w:t>
            </w:r>
            <w:r>
              <w:rPr>
                <w:rFonts w:eastAsia="Times New Roman"/>
              </w:rPr>
              <w:t>c</w:t>
            </w:r>
            <w:r w:rsidRPr="00737FD7">
              <w:rPr>
                <w:rFonts w:eastAsia="Times New Roman"/>
              </w:rPr>
              <w:t>m)</w:t>
            </w:r>
          </w:p>
        </w:tc>
        <w:tc>
          <w:tcPr>
            <w:tcW w:w="1482" w:type="dxa"/>
          </w:tcPr>
          <w:p w:rsidR="00084193" w:rsidRPr="00737FD7" w:rsidRDefault="00084193" w:rsidP="00E4702C">
            <w:r>
              <w:t>3,175kg (7 lb)</w:t>
            </w:r>
          </w:p>
        </w:tc>
      </w:tr>
      <w:tr w:rsidR="00084193" w:rsidTr="00E4702C">
        <w:trPr>
          <w:jc w:val="center"/>
        </w:trPr>
        <w:tc>
          <w:tcPr>
            <w:tcW w:w="955" w:type="dxa"/>
          </w:tcPr>
          <w:p w:rsidR="00084193" w:rsidRDefault="00084193" w:rsidP="00E4702C">
            <w:pPr>
              <w:jc w:val="both"/>
              <w:rPr>
                <w:lang w:bidi="it-IT"/>
              </w:rPr>
            </w:pPr>
            <w:r>
              <w:rPr>
                <w:lang w:bidi="it-IT"/>
              </w:rPr>
              <w:t>EU</w:t>
            </w:r>
          </w:p>
        </w:tc>
        <w:tc>
          <w:tcPr>
            <w:tcW w:w="1699" w:type="dxa"/>
          </w:tcPr>
          <w:p w:rsidR="00084193" w:rsidRDefault="00084193" w:rsidP="00E4702C">
            <w:pPr>
              <w:rPr>
                <w:lang w:bidi="it-IT"/>
              </w:rPr>
            </w:pPr>
            <w:r>
              <w:rPr>
                <w:lang w:bidi="it-IT"/>
              </w:rPr>
              <w:t>17,91“ (45,5cm)</w:t>
            </w:r>
          </w:p>
        </w:tc>
        <w:tc>
          <w:tcPr>
            <w:tcW w:w="1611" w:type="dxa"/>
          </w:tcPr>
          <w:p w:rsidR="00084193" w:rsidRDefault="00084193" w:rsidP="00E4702C">
            <w:pPr>
              <w:rPr>
                <w:lang w:bidi="it-IT"/>
              </w:rPr>
            </w:pPr>
            <w:r>
              <w:rPr>
                <w:lang w:bidi="it-IT"/>
              </w:rPr>
              <w:t>13,38“ (34cm)</w:t>
            </w:r>
          </w:p>
        </w:tc>
        <w:tc>
          <w:tcPr>
            <w:tcW w:w="1699" w:type="dxa"/>
          </w:tcPr>
          <w:p w:rsidR="00084193" w:rsidRDefault="00084193" w:rsidP="00E4702C">
            <w:pPr>
              <w:rPr>
                <w:lang w:bidi="it-IT"/>
              </w:rPr>
            </w:pPr>
            <w:r>
              <w:rPr>
                <w:lang w:bidi="it-IT"/>
              </w:rPr>
              <w:t>9,25“ (23,5cm)</w:t>
            </w:r>
          </w:p>
        </w:tc>
        <w:tc>
          <w:tcPr>
            <w:tcW w:w="1747" w:type="dxa"/>
          </w:tcPr>
          <w:p w:rsidR="00084193" w:rsidRDefault="00084193" w:rsidP="00E4702C">
            <w:pPr>
              <w:rPr>
                <w:lang w:bidi="it-IT"/>
              </w:rPr>
            </w:pPr>
            <w:r>
              <w:rPr>
                <w:rFonts w:eastAsia="Times New Roman" w:cstheme="minorHAnsi"/>
              </w:rPr>
              <w:t>≤</w:t>
            </w:r>
            <w:r w:rsidRPr="00A01A99">
              <w:rPr>
                <w:rFonts w:eastAsia="Times New Roman"/>
              </w:rPr>
              <w:t xml:space="preserve"> 23</w:t>
            </w:r>
            <w:r>
              <w:rPr>
                <w:rFonts w:eastAsia="Times New Roman"/>
              </w:rPr>
              <w:t>,</w:t>
            </w:r>
            <w:r w:rsidRPr="00A01A99">
              <w:rPr>
                <w:rFonts w:eastAsia="Times New Roman"/>
              </w:rPr>
              <w:t>6</w:t>
            </w:r>
            <w:r>
              <w:rPr>
                <w:rFonts w:eastAsia="Times New Roman"/>
              </w:rPr>
              <w:t>“ (60cm)</w:t>
            </w:r>
          </w:p>
        </w:tc>
        <w:tc>
          <w:tcPr>
            <w:tcW w:w="1692" w:type="dxa"/>
          </w:tcPr>
          <w:p w:rsidR="00084193" w:rsidRDefault="00084193" w:rsidP="00E4702C">
            <w:pPr>
              <w:rPr>
                <w:lang w:bidi="it-IT"/>
              </w:rPr>
            </w:pPr>
            <w:r>
              <w:rPr>
                <w:rFonts w:eastAsia="Times New Roman" w:cstheme="minorHAnsi"/>
              </w:rPr>
              <w:t>≤</w:t>
            </w:r>
            <w:r w:rsidRPr="00A01A99">
              <w:rPr>
                <w:rFonts w:eastAsia="Times New Roman"/>
              </w:rPr>
              <w:t xml:space="preserve"> 18</w:t>
            </w:r>
            <w:r>
              <w:rPr>
                <w:rFonts w:eastAsia="Times New Roman"/>
              </w:rPr>
              <w:t>,</w:t>
            </w:r>
            <w:r w:rsidRPr="00A01A99">
              <w:rPr>
                <w:rFonts w:eastAsia="Times New Roman"/>
              </w:rPr>
              <w:t>9</w:t>
            </w:r>
            <w:r>
              <w:rPr>
                <w:rFonts w:eastAsia="Times New Roman"/>
              </w:rPr>
              <w:t>“</w:t>
            </w:r>
            <w:r w:rsidRPr="00A01A99">
              <w:rPr>
                <w:rFonts w:eastAsia="Times New Roman"/>
              </w:rPr>
              <w:t xml:space="preserve"> </w:t>
            </w:r>
            <w:r>
              <w:rPr>
                <w:rFonts w:eastAsia="Times New Roman"/>
              </w:rPr>
              <w:t>(48cm)</w:t>
            </w:r>
          </w:p>
        </w:tc>
        <w:tc>
          <w:tcPr>
            <w:tcW w:w="1482" w:type="dxa"/>
          </w:tcPr>
          <w:p w:rsidR="00084193" w:rsidRDefault="00084193" w:rsidP="00E4702C">
            <w:pPr>
              <w:rPr>
                <w:lang w:bidi="it-IT"/>
              </w:rPr>
            </w:pPr>
            <w:r>
              <w:rPr>
                <w:lang w:bidi="fr-FR"/>
              </w:rPr>
              <w:t>5 kg (11 lb)</w:t>
            </w:r>
          </w:p>
        </w:tc>
      </w:tr>
    </w:tbl>
    <w:p w:rsidR="00084193" w:rsidRDefault="00084193" w:rsidP="00084193">
      <w:pPr>
        <w:spacing w:after="0" w:line="240" w:lineRule="auto"/>
        <w:rPr>
          <w:rFonts w:eastAsia="Times New Roman"/>
          <w:sz w:val="20"/>
        </w:rPr>
      </w:pPr>
    </w:p>
    <w:p w:rsidR="00084193" w:rsidRPr="00084193" w:rsidRDefault="00084193" w:rsidP="00084193">
      <w:pPr>
        <w:spacing w:after="0" w:line="240" w:lineRule="auto"/>
        <w:rPr>
          <w:rFonts w:eastAsia="Times New Roman"/>
          <w:sz w:val="20"/>
        </w:rPr>
      </w:pPr>
      <w:r w:rsidRPr="007E75D3">
        <w:rPr>
          <w:rFonts w:eastAsia="Times New Roman"/>
          <w:sz w:val="20"/>
        </w:rPr>
        <w:t>*</w:t>
      </w:r>
      <w:r w:rsidRPr="00084193">
        <w:rPr>
          <w:i/>
          <w:sz w:val="20"/>
          <w:lang w:bidi="de-DE"/>
        </w:rPr>
        <w:t>Maximal zulässiges Artikel- und Verpackungsgewicht</w:t>
      </w:r>
    </w:p>
    <w:p w:rsidR="005C6233" w:rsidRDefault="005C6233" w:rsidP="005C6233">
      <w:pPr>
        <w:spacing w:after="0"/>
        <w:jc w:val="both"/>
      </w:pPr>
    </w:p>
    <w:p w:rsidR="005C6233" w:rsidRPr="00810590" w:rsidRDefault="005C6233" w:rsidP="005C6233">
      <w:pPr>
        <w:pStyle w:val="ListParagraph"/>
        <w:numPr>
          <w:ilvl w:val="0"/>
          <w:numId w:val="2"/>
        </w:numPr>
        <w:spacing w:after="0"/>
        <w:jc w:val="both"/>
        <w:rPr>
          <w:b/>
          <w:i/>
        </w:rPr>
      </w:pPr>
      <w:r w:rsidRPr="00786936">
        <w:rPr>
          <w:b/>
          <w:i/>
          <w:lang w:bidi="de-DE"/>
        </w:rPr>
        <w:t>V</w:t>
      </w:r>
      <w:r>
        <w:rPr>
          <w:b/>
          <w:i/>
          <w:lang w:bidi="de-DE"/>
        </w:rPr>
        <w:t>ersiegelung der V</w:t>
      </w:r>
      <w:r w:rsidRPr="00786936">
        <w:rPr>
          <w:b/>
          <w:i/>
          <w:lang w:bidi="de-DE"/>
        </w:rPr>
        <w:t>erpackung</w:t>
      </w:r>
    </w:p>
    <w:p w:rsidR="005C6233" w:rsidRDefault="005C6233" w:rsidP="005C6233">
      <w:pPr>
        <w:spacing w:after="0"/>
        <w:jc w:val="both"/>
      </w:pPr>
      <w:r>
        <w:t xml:space="preserve">Die Verpackung muss so versiegelt sein, dass der Inhalt vollständig eingeschlossen ist (alle offenen Kanten müssen versiegelt sein). Die Versiegelung muss Druck und Stößen standhalten, die unter normalen Sortier- und Verteilbedingungen auftreten können. Zu den Versiegelungsoptionen gehören Heißsiegelung, Klebstoff </w:t>
      </w:r>
      <w:r w:rsidR="00A672FA">
        <w:t>[</w:t>
      </w:r>
      <w:r>
        <w:t>Siegelstärke von ≥5.7lb/in (1 N/mm)</w:t>
      </w:r>
      <w:r w:rsidR="00A672FA">
        <w:t>,</w:t>
      </w:r>
      <w:r>
        <w:t xml:space="preserve"> ASTM F88-15, Tail Holding Method A</w:t>
      </w:r>
      <w:r w:rsidR="00A672FA">
        <w:t>]</w:t>
      </w:r>
      <w:r>
        <w:t xml:space="preserve">, oder Klebeband. </w:t>
      </w:r>
    </w:p>
    <w:p w:rsidR="005C6233" w:rsidRDefault="005C6233" w:rsidP="005C6233">
      <w:pPr>
        <w:spacing w:after="0"/>
        <w:jc w:val="both"/>
      </w:pPr>
    </w:p>
    <w:p w:rsidR="005C6233" w:rsidRPr="00913B0B" w:rsidRDefault="005C6233" w:rsidP="005C6233">
      <w:pPr>
        <w:spacing w:after="0"/>
        <w:jc w:val="both"/>
      </w:pPr>
      <w:r>
        <w:t xml:space="preserve">Für wiederverschließbare Verschlüsse (z. B. Reißverschlüsse) ist ein Sicherheitssiegel erforderlich, das </w:t>
      </w:r>
      <w:r w:rsidRPr="00913B0B">
        <w:t>nach dem Öffnen eine Manipulation nachweist (z. B. Originalitätssiegel).</w:t>
      </w:r>
    </w:p>
    <w:p w:rsidR="005C6233" w:rsidRPr="00913B0B" w:rsidRDefault="005C6233" w:rsidP="005C6233">
      <w:pPr>
        <w:spacing w:after="0"/>
        <w:jc w:val="both"/>
      </w:pPr>
    </w:p>
    <w:p w:rsidR="005C6233" w:rsidRPr="00913B0B" w:rsidRDefault="005C6233" w:rsidP="005C6233">
      <w:pPr>
        <w:pStyle w:val="ListParagraph"/>
        <w:numPr>
          <w:ilvl w:val="0"/>
          <w:numId w:val="2"/>
        </w:numPr>
        <w:spacing w:after="0"/>
        <w:jc w:val="both"/>
        <w:rPr>
          <w:b/>
          <w:i/>
        </w:rPr>
      </w:pPr>
      <w:r w:rsidRPr="00913B0B">
        <w:rPr>
          <w:b/>
          <w:i/>
          <w:lang w:bidi="de-DE"/>
        </w:rPr>
        <w:t>Slack-Fill</w:t>
      </w:r>
    </w:p>
    <w:p w:rsidR="005C6233" w:rsidRDefault="005C6233" w:rsidP="005C6233">
      <w:pPr>
        <w:spacing w:after="0"/>
        <w:jc w:val="both"/>
      </w:pPr>
      <w:r>
        <w:rPr>
          <w:lang w:bidi="de-DE"/>
        </w:rPr>
        <w:t xml:space="preserve">Die Verpackung muss die richtige Größe für das Produkt haben. </w:t>
      </w:r>
      <w:r w:rsidR="00A672FA">
        <w:rPr>
          <w:rStyle w:val="y2iqfc"/>
        </w:rPr>
        <w:t xml:space="preserve">Das </w:t>
      </w:r>
      <w:r w:rsidR="00A672FA" w:rsidRPr="00A672FA">
        <w:rPr>
          <w:rStyle w:val="y2iqfc"/>
        </w:rPr>
        <w:t>Paket darf, wenn flachliegend, keine überschüssige Slack-Fill enthalten</w:t>
      </w:r>
      <w:r>
        <w:rPr>
          <w:lang w:bidi="de-DE"/>
        </w:rPr>
        <w:t xml:space="preserve">, dieser darf kumulativ in keiner Richtung 2“ (50,8 mm) überschreiten. </w:t>
      </w:r>
      <w:r w:rsidR="00A672FA">
        <w:rPr>
          <w:rStyle w:val="y2iqfc"/>
        </w:rPr>
        <w:t xml:space="preserve">Das Paket darf auch kein </w:t>
      </w:r>
      <w:r w:rsidR="00A672FA" w:rsidRPr="00A672FA">
        <w:rPr>
          <w:rStyle w:val="y2iqfc"/>
        </w:rPr>
        <w:t>überschüssiges Slack-Fill enthalten</w:t>
      </w:r>
      <w:r w:rsidR="00A672FA">
        <w:rPr>
          <w:rStyle w:val="y2iqfc"/>
        </w:rPr>
        <w:t>, wenn es an einer Ecke hochgehalten wird</w:t>
      </w:r>
      <w:r w:rsidR="00A672FA">
        <w:rPr>
          <w:lang w:bidi="de-DE"/>
        </w:rPr>
        <w:t xml:space="preserve">. </w:t>
      </w:r>
      <w:r>
        <w:rPr>
          <w:lang w:bidi="de-DE"/>
        </w:rPr>
        <w:t>Slack-Fill ist die Differenz zwischen der tatsächlichen Kapazität des Beutels und dem darin enthaltenen Produktvolumen.</w:t>
      </w:r>
    </w:p>
    <w:p w:rsidR="005C6233" w:rsidRDefault="005C6233" w:rsidP="005C6233">
      <w:pPr>
        <w:spacing w:after="0"/>
        <w:jc w:val="both"/>
      </w:pPr>
    </w:p>
    <w:p w:rsidR="005C6233" w:rsidRPr="00406B22" w:rsidRDefault="005C6233" w:rsidP="005C6233">
      <w:pPr>
        <w:spacing w:after="0"/>
        <w:jc w:val="both"/>
      </w:pPr>
      <w:r w:rsidRPr="00C612DB">
        <w:rPr>
          <w:noProof/>
          <w:lang w:bidi="de-DE"/>
        </w:rPr>
        <w:drawing>
          <wp:inline distT="0" distB="0" distL="0" distR="0" wp14:anchorId="68B7B234" wp14:editId="6A3C6282">
            <wp:extent cx="5049078" cy="183090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3620" cy="1850685"/>
                    </a:xfrm>
                    <a:prstGeom prst="rect">
                      <a:avLst/>
                    </a:prstGeom>
                  </pic:spPr>
                </pic:pic>
              </a:graphicData>
            </a:graphic>
          </wp:inline>
        </w:drawing>
      </w:r>
    </w:p>
    <w:p w:rsidR="005C6233" w:rsidRPr="00406B22" w:rsidRDefault="005C6233" w:rsidP="005C6233">
      <w:pPr>
        <w:spacing w:after="0"/>
        <w:jc w:val="both"/>
      </w:pPr>
    </w:p>
    <w:p w:rsidR="005C6233" w:rsidRPr="00786936" w:rsidRDefault="005C6233" w:rsidP="005C6233">
      <w:pPr>
        <w:pStyle w:val="ListParagraph"/>
        <w:numPr>
          <w:ilvl w:val="0"/>
          <w:numId w:val="2"/>
        </w:numPr>
        <w:spacing w:after="0"/>
        <w:jc w:val="both"/>
        <w:rPr>
          <w:b/>
          <w:i/>
        </w:rPr>
      </w:pPr>
      <w:r w:rsidRPr="00786936">
        <w:rPr>
          <w:b/>
          <w:i/>
          <w:lang w:bidi="de-DE"/>
        </w:rPr>
        <w:t>Verpackungsdruck und Etikettierung</w:t>
      </w:r>
    </w:p>
    <w:p w:rsidR="005C6233" w:rsidRDefault="005C6233" w:rsidP="005C6233">
      <w:pPr>
        <w:spacing w:after="0"/>
        <w:jc w:val="both"/>
        <w:rPr>
          <w:lang w:bidi="de-DE"/>
        </w:rPr>
      </w:pPr>
      <w:r>
        <w:rPr>
          <w:lang w:bidi="de-DE"/>
        </w:rPr>
        <w:t xml:space="preserve">Verpackungskennzeichnungen und Etikettierung müssen den Inhalt deutlich angeben. Die Verpackungen müssen den Kennzeichnungs- und Kartonmarkierungsanforderungen entsprechen, die im Handbuch für Vorbereitung, Empfang und Transport beschrieben sind. Diese können in </w:t>
      </w:r>
      <w:hyperlink r:id="rId9" w:history="1">
        <w:r w:rsidRPr="006F47D5">
          <w:rPr>
            <w:rStyle w:val="Hyperlink"/>
            <w:lang w:bidi="de-DE"/>
          </w:rPr>
          <w:t>Vendor Central</w:t>
        </w:r>
      </w:hyperlink>
      <w:r>
        <w:rPr>
          <w:lang w:bidi="de-DE"/>
        </w:rPr>
        <w:t xml:space="preserve"> im Abschnitt „Formulare und andere Downloads“ im Support abgerufen werden.</w:t>
      </w:r>
    </w:p>
    <w:p w:rsidR="005C6233" w:rsidRDefault="005C6233" w:rsidP="005C6233">
      <w:pPr>
        <w:spacing w:after="0"/>
        <w:jc w:val="both"/>
      </w:pPr>
    </w:p>
    <w:p w:rsidR="005C6233" w:rsidRDefault="005C6233" w:rsidP="005C6233">
      <w:pPr>
        <w:spacing w:after="0"/>
        <w:jc w:val="both"/>
      </w:pPr>
      <w:r>
        <w:rPr>
          <w:lang w:bidi="de-DE"/>
        </w:rPr>
        <w:t xml:space="preserve">Klebeetiketten (z. B. Versandetiketten) müssen unter normalen Sortier- und Verteilbedingungen auf der Außenverpackung haften bleiben. </w:t>
      </w:r>
    </w:p>
    <w:p w:rsidR="005C6233" w:rsidRDefault="005C6233" w:rsidP="005C6233">
      <w:pPr>
        <w:spacing w:after="0"/>
        <w:jc w:val="both"/>
      </w:pPr>
    </w:p>
    <w:p w:rsidR="005C6233" w:rsidRDefault="005C6233" w:rsidP="005C6233">
      <w:pPr>
        <w:spacing w:after="0"/>
        <w:jc w:val="both"/>
      </w:pPr>
      <w:bookmarkStart w:id="1" w:name="_Hlk103319432"/>
      <w:r>
        <w:rPr>
          <w:lang w:bidi="de-DE"/>
        </w:rPr>
        <w:t>Potenziell sensible Artikel oder Gegenstände, die zu Verlegenheit führen können (z. B. Unterwäsche, Gesundheits- und Wellnessprodukte, Medizinprodukte, Produkte für Erwachsene</w:t>
      </w:r>
      <w:bookmarkEnd w:id="1"/>
      <w:r>
        <w:rPr>
          <w:lang w:bidi="de-DE"/>
        </w:rPr>
        <w:t xml:space="preserve">), müssen diskret gekennzeichnet und etikettiert werden, um negative Kundenerfahrungen zu vermeiden. </w:t>
      </w:r>
    </w:p>
    <w:p w:rsidR="005C6233" w:rsidRDefault="005C6233" w:rsidP="005C6233">
      <w:pPr>
        <w:spacing w:after="0"/>
        <w:jc w:val="both"/>
      </w:pPr>
    </w:p>
    <w:p w:rsidR="005C6233" w:rsidRPr="00786936" w:rsidRDefault="005C6233" w:rsidP="005C6233">
      <w:pPr>
        <w:pStyle w:val="ListParagraph"/>
        <w:numPr>
          <w:ilvl w:val="0"/>
          <w:numId w:val="2"/>
        </w:numPr>
        <w:spacing w:after="0"/>
        <w:jc w:val="both"/>
        <w:rPr>
          <w:b/>
          <w:i/>
        </w:rPr>
      </w:pPr>
      <w:r>
        <w:rPr>
          <w:b/>
          <w:i/>
          <w:lang w:bidi="de-DE"/>
        </w:rPr>
        <w:t>Hazmat k</w:t>
      </w:r>
      <w:r w:rsidRPr="00786936">
        <w:rPr>
          <w:b/>
          <w:i/>
          <w:lang w:bidi="de-DE"/>
        </w:rPr>
        <w:t>lassifizierte Produkte</w:t>
      </w:r>
    </w:p>
    <w:p w:rsidR="005C6233" w:rsidRPr="0051016F" w:rsidRDefault="005C6233" w:rsidP="005C6233">
      <w:pPr>
        <w:spacing w:after="0"/>
        <w:jc w:val="both"/>
      </w:pPr>
      <w:r>
        <w:rPr>
          <w:lang w:bidi="de-DE"/>
        </w:rPr>
        <w:t>Derzeit können wir kein flexible SIOC für Gefahrgutprodukte (ASINs mit einer UN-Nummer) anbieten und/oder wenn die Verpackung transportregulierte Symbole oder Markierungen aufweist, mehr Informationen</w:t>
      </w:r>
      <w:r w:rsidRPr="0051016F">
        <w:t xml:space="preserve"> </w:t>
      </w:r>
      <w:hyperlink r:id="rId10" w:history="1">
        <w:r w:rsidRPr="0051016F">
          <w:rPr>
            <w:rStyle w:val="Hyperlink"/>
          </w:rPr>
          <w:t>h</w:t>
        </w:r>
        <w:r>
          <w:rPr>
            <w:rStyle w:val="Hyperlink"/>
          </w:rPr>
          <w:t>ier</w:t>
        </w:r>
      </w:hyperlink>
      <w:r w:rsidRPr="0051016F">
        <w:t>.</w:t>
      </w:r>
    </w:p>
    <w:p w:rsidR="005C6233" w:rsidRPr="0051016F" w:rsidRDefault="005C6233" w:rsidP="005C6233">
      <w:pPr>
        <w:spacing w:after="0"/>
        <w:jc w:val="both"/>
      </w:pPr>
    </w:p>
    <w:p w:rsidR="005C6233" w:rsidRPr="003A36F7" w:rsidRDefault="005C6233" w:rsidP="005C6233">
      <w:pPr>
        <w:spacing w:after="0"/>
        <w:jc w:val="both"/>
        <w:rPr>
          <w:b/>
        </w:rPr>
      </w:pPr>
      <w:r w:rsidRPr="003A36F7">
        <w:rPr>
          <w:b/>
          <w:lang w:bidi="de-DE"/>
        </w:rPr>
        <w:t xml:space="preserve">Beispiel 1: Passende Beispiele für </w:t>
      </w:r>
      <w:r>
        <w:rPr>
          <w:b/>
          <w:lang w:bidi="de-DE"/>
        </w:rPr>
        <w:t>flexible SIOC</w:t>
      </w:r>
    </w:p>
    <w:p w:rsidR="005C6233" w:rsidRDefault="005C6233" w:rsidP="005C6233">
      <w:pPr>
        <w:spacing w:after="0"/>
      </w:pPr>
      <w:r>
        <w:rPr>
          <w:noProof/>
          <w:lang w:bidi="de-DE"/>
        </w:rPr>
        <w:drawing>
          <wp:inline distT="0" distB="0" distL="0" distR="0" wp14:anchorId="299C0B77" wp14:editId="62709FD5">
            <wp:extent cx="2657872" cy="1952602"/>
            <wp:effectExtent l="0" t="9207" r="317" b="318"/>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668" t="12263" r="13134" b="10307"/>
                    <a:stretch/>
                  </pic:blipFill>
                  <pic:spPr bwMode="auto">
                    <a:xfrm rot="16200000">
                      <a:off x="0" y="0"/>
                      <a:ext cx="2683763" cy="1971623"/>
                    </a:xfrm>
                    <a:prstGeom prst="rect">
                      <a:avLst/>
                    </a:prstGeom>
                    <a:noFill/>
                    <a:ln>
                      <a:noFill/>
                    </a:ln>
                    <a:extLst>
                      <a:ext uri="{53640926-AAD7-44D8-BBD7-CCE9431645EC}">
                        <a14:shadowObscured xmlns:a14="http://schemas.microsoft.com/office/drawing/2010/main"/>
                      </a:ext>
                    </a:extLst>
                  </pic:spPr>
                </pic:pic>
              </a:graphicData>
            </a:graphic>
          </wp:inline>
        </w:drawing>
      </w:r>
      <w:r>
        <w:rPr>
          <w:lang w:bidi="de-DE"/>
        </w:rPr>
        <w:t xml:space="preserve">  </w:t>
      </w:r>
      <w:r>
        <w:rPr>
          <w:noProof/>
          <w:lang w:bidi="de-DE"/>
        </w:rPr>
        <w:drawing>
          <wp:inline distT="0" distB="0" distL="0" distR="0" wp14:anchorId="15B092C9" wp14:editId="31FBEBC8">
            <wp:extent cx="2666143" cy="2111362"/>
            <wp:effectExtent l="0" t="8255"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337" t="7084" r="16676" b="3817"/>
                    <a:stretch/>
                  </pic:blipFill>
                  <pic:spPr bwMode="auto">
                    <a:xfrm rot="5400000">
                      <a:off x="0" y="0"/>
                      <a:ext cx="2685536" cy="2126720"/>
                    </a:xfrm>
                    <a:prstGeom prst="rect">
                      <a:avLst/>
                    </a:prstGeom>
                    <a:noFill/>
                    <a:ln>
                      <a:noFill/>
                    </a:ln>
                    <a:extLst>
                      <a:ext uri="{53640926-AAD7-44D8-BBD7-CCE9431645EC}">
                        <a14:shadowObscured xmlns:a14="http://schemas.microsoft.com/office/drawing/2010/main"/>
                      </a:ext>
                    </a:extLst>
                  </pic:spPr>
                </pic:pic>
              </a:graphicData>
            </a:graphic>
          </wp:inline>
        </w:drawing>
      </w:r>
      <w:r>
        <w:rPr>
          <w:lang w:bidi="de-DE"/>
        </w:rPr>
        <w:t xml:space="preserve">  </w:t>
      </w:r>
    </w:p>
    <w:p w:rsidR="005C6233" w:rsidRDefault="005C6233" w:rsidP="005C6233">
      <w:pPr>
        <w:spacing w:after="0"/>
      </w:pPr>
    </w:p>
    <w:p w:rsidR="005C6233" w:rsidRPr="003A36F7" w:rsidRDefault="005C6233" w:rsidP="005C6233">
      <w:pPr>
        <w:spacing w:after="0"/>
        <w:rPr>
          <w:b/>
        </w:rPr>
      </w:pPr>
      <w:r w:rsidRPr="003A36F7">
        <w:rPr>
          <w:b/>
          <w:lang w:bidi="de-DE"/>
        </w:rPr>
        <w:t xml:space="preserve">Beispiel 2: </w:t>
      </w:r>
      <w:r w:rsidRPr="003A36F7">
        <w:rPr>
          <w:b/>
          <w:u w:val="single"/>
          <w:lang w:bidi="de-DE"/>
        </w:rPr>
        <w:t>Ungeeignete</w:t>
      </w:r>
      <w:r w:rsidRPr="003A36F7">
        <w:rPr>
          <w:b/>
          <w:lang w:bidi="de-DE"/>
        </w:rPr>
        <w:t xml:space="preserve"> Beispiele für </w:t>
      </w:r>
      <w:r>
        <w:rPr>
          <w:b/>
          <w:lang w:bidi="de-DE"/>
        </w:rPr>
        <w:t>flexible SIOC</w:t>
      </w:r>
    </w:p>
    <w:p w:rsidR="005C6233" w:rsidRDefault="005C6233" w:rsidP="005C6233">
      <w:pPr>
        <w:spacing w:after="0"/>
      </w:pPr>
      <w:r>
        <w:rPr>
          <w:noProof/>
          <w:lang w:bidi="de-DE"/>
        </w:rPr>
        <mc:AlternateContent>
          <mc:Choice Requires="wps">
            <w:drawing>
              <wp:anchor distT="0" distB="0" distL="114300" distR="114300" simplePos="0" relativeHeight="251660288" behindDoc="0" locked="0" layoutInCell="1" allowOverlap="1" wp14:anchorId="65D8AB71" wp14:editId="44360AA8">
                <wp:simplePos x="0" y="0"/>
                <wp:positionH relativeFrom="column">
                  <wp:posOffset>3067050</wp:posOffset>
                </wp:positionH>
                <wp:positionV relativeFrom="paragraph">
                  <wp:posOffset>152400</wp:posOffset>
                </wp:positionV>
                <wp:extent cx="981075" cy="428625"/>
                <wp:effectExtent l="0" t="0" r="28575" b="28575"/>
                <wp:wrapNone/>
                <wp:docPr id="16" name="Oval 16"/>
                <wp:cNvGraphicFramePr/>
                <a:graphic xmlns:a="http://schemas.openxmlformats.org/drawingml/2006/main">
                  <a:graphicData uri="http://schemas.microsoft.com/office/word/2010/wordprocessingShape">
                    <wps:wsp>
                      <wps:cNvSpPr/>
                      <wps:spPr>
                        <a:xfrm>
                          <a:off x="0" y="0"/>
                          <a:ext cx="981075" cy="428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CF1E1" id="Oval 16" o:spid="_x0000_s1026" style="position:absolute;margin-left:241.5pt;margin-top:12pt;width:77.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" filled="f" strokecolor="red" strokeweight="1pt">
                <v:stroke joinstyle="miter"/>
              </v:oval>
            </w:pict>
          </mc:Fallback>
        </mc:AlternateContent>
      </w:r>
      <w:r>
        <w:rPr>
          <w:noProof/>
          <w:lang w:bidi="de-DE"/>
        </w:rPr>
        <mc:AlternateContent>
          <mc:Choice Requires="wps">
            <w:drawing>
              <wp:anchor distT="0" distB="0" distL="114300" distR="114300" simplePos="0" relativeHeight="251659264" behindDoc="0" locked="0" layoutInCell="1" allowOverlap="1" wp14:anchorId="6843AB7E" wp14:editId="0716E029">
                <wp:simplePos x="0" y="0"/>
                <wp:positionH relativeFrom="column">
                  <wp:posOffset>1085850</wp:posOffset>
                </wp:positionH>
                <wp:positionV relativeFrom="paragraph">
                  <wp:posOffset>257175</wp:posOffset>
                </wp:positionV>
                <wp:extent cx="1495425" cy="714375"/>
                <wp:effectExtent l="0" t="0" r="28575" b="28575"/>
                <wp:wrapNone/>
                <wp:docPr id="9" name="Oval 9"/>
                <wp:cNvGraphicFramePr/>
                <a:graphic xmlns:a="http://schemas.openxmlformats.org/drawingml/2006/main">
                  <a:graphicData uri="http://schemas.microsoft.com/office/word/2010/wordprocessingShape">
                    <wps:wsp>
                      <wps:cNvSpPr/>
                      <wps:spPr>
                        <a:xfrm>
                          <a:off x="0" y="0"/>
                          <a:ext cx="1495425" cy="714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472DD" id="Oval 9" o:spid="_x0000_s1026" style="position:absolute;margin-left:85.5pt;margin-top:20.25pt;width:117.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" filled="f" strokecolor="red" strokeweight="1pt">
                <v:stroke joinstyle="miter"/>
              </v:oval>
            </w:pict>
          </mc:Fallback>
        </mc:AlternateContent>
      </w:r>
      <w:r>
        <w:rPr>
          <w:noProof/>
          <w:lang w:bidi="de-DE"/>
        </w:rPr>
        <w:drawing>
          <wp:inline distT="0" distB="0" distL="0" distR="0" wp14:anchorId="13A24124" wp14:editId="52A9B70D">
            <wp:extent cx="2741045" cy="2628369"/>
            <wp:effectExtent l="0" t="953" r="1588" b="1587"/>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445" t="7432" r="20813" b="10932"/>
                    <a:stretch/>
                  </pic:blipFill>
                  <pic:spPr bwMode="auto">
                    <a:xfrm rot="5400000">
                      <a:off x="0" y="0"/>
                      <a:ext cx="2745989" cy="2633109"/>
                    </a:xfrm>
                    <a:prstGeom prst="rect">
                      <a:avLst/>
                    </a:prstGeom>
                    <a:noFill/>
                    <a:ln>
                      <a:noFill/>
                    </a:ln>
                    <a:extLst>
                      <a:ext uri="{53640926-AAD7-44D8-BBD7-CCE9431645EC}">
                        <a14:shadowObscured xmlns:a14="http://schemas.microsoft.com/office/drawing/2010/main"/>
                      </a:ext>
                    </a:extLst>
                  </pic:spPr>
                </pic:pic>
              </a:graphicData>
            </a:graphic>
          </wp:inline>
        </w:drawing>
      </w:r>
      <w:r>
        <w:rPr>
          <w:lang w:bidi="de-DE"/>
        </w:rPr>
        <w:t xml:space="preserve">  </w:t>
      </w:r>
      <w:r>
        <w:rPr>
          <w:noProof/>
          <w:lang w:bidi="de-DE"/>
        </w:rPr>
        <w:drawing>
          <wp:inline distT="0" distB="0" distL="0" distR="0" wp14:anchorId="53E057AC" wp14:editId="6090352D">
            <wp:extent cx="2749860" cy="1776911"/>
            <wp:effectExtent l="0" t="8890" r="3810" b="381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617" t="11061" r="4317" b="5496"/>
                    <a:stretch/>
                  </pic:blipFill>
                  <pic:spPr bwMode="auto">
                    <a:xfrm rot="16200000">
                      <a:off x="0" y="0"/>
                      <a:ext cx="2769409" cy="1789543"/>
                    </a:xfrm>
                    <a:prstGeom prst="rect">
                      <a:avLst/>
                    </a:prstGeom>
                    <a:noFill/>
                    <a:ln>
                      <a:noFill/>
                    </a:ln>
                    <a:extLst>
                      <a:ext uri="{53640926-AAD7-44D8-BBD7-CCE9431645EC}">
                        <a14:shadowObscured xmlns:a14="http://schemas.microsoft.com/office/drawing/2010/main"/>
                      </a:ext>
                    </a:extLst>
                  </pic:spPr>
                </pic:pic>
              </a:graphicData>
            </a:graphic>
          </wp:inline>
        </w:drawing>
      </w:r>
    </w:p>
    <w:p w:rsidR="006B6D26" w:rsidRDefault="00136583"/>
    <w:sectPr w:rsidR="006B6D26" w:rsidSect="0008419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A38D9"/>
    <w:multiLevelType w:val="hybridMultilevel"/>
    <w:tmpl w:val="8A8A69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271EFE"/>
    <w:multiLevelType w:val="hybridMultilevel"/>
    <w:tmpl w:val="0994DC04"/>
    <w:lvl w:ilvl="0" w:tplc="8BE8D9C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33"/>
    <w:rsid w:val="00084193"/>
    <w:rsid w:val="000D0361"/>
    <w:rsid w:val="00136583"/>
    <w:rsid w:val="002C5FA2"/>
    <w:rsid w:val="002E7F4C"/>
    <w:rsid w:val="003E52B4"/>
    <w:rsid w:val="0051790B"/>
    <w:rsid w:val="005C6233"/>
    <w:rsid w:val="008D7F2E"/>
    <w:rsid w:val="00A672FA"/>
    <w:rsid w:val="00AB7791"/>
    <w:rsid w:val="00CE65A1"/>
    <w:rsid w:val="00EC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3E5FE-C08A-43EA-A57F-759C9EE5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2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33"/>
    <w:pPr>
      <w:ind w:left="720"/>
      <w:contextualSpacing/>
    </w:pPr>
  </w:style>
  <w:style w:type="table" w:styleId="TableGrid">
    <w:name w:val="Table Grid"/>
    <w:basedOn w:val="TableNormal"/>
    <w:uiPriority w:val="39"/>
    <w:rsid w:val="005C6233"/>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233"/>
    <w:rPr>
      <w:color w:val="0563C1" w:themeColor="hyperlink"/>
      <w:u w:val="single"/>
    </w:rPr>
  </w:style>
  <w:style w:type="character" w:customStyle="1" w:styleId="y2iqfc">
    <w:name w:val="y2iqfc"/>
    <w:basedOn w:val="DefaultParagraphFont"/>
    <w:rsid w:val="00A672FA"/>
  </w:style>
  <w:style w:type="character" w:customStyle="1" w:styleId="rynqvb">
    <w:name w:val="rynqvb"/>
    <w:basedOn w:val="DefaultParagraphFont"/>
    <w:rsid w:val="00084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sellercentral.amazon.de/gp/help/external/201003400"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boutamazon.de/unser-beitrag-fuer-die-umwelt/verpackungen-und-produkte/pruefung-und-zertifizierung" TargetMode="External"/><Relationship Id="rId11" Type="http://schemas.openxmlformats.org/officeDocument/2006/relationships/image" Target="media/image2.jpeg"/><Relationship Id="rId5" Type="http://schemas.openxmlformats.org/officeDocument/2006/relationships/hyperlink" Target="https://assets.aboutamazon.com/2f/9e/bb53bf0d4b0f89948091ec31b1be/certification-guidelines-de-pr-qc-final.pdf" TargetMode="External"/><Relationship Id="rId15" Type="http://schemas.openxmlformats.org/officeDocument/2006/relationships/fontTable" Target="fontTable.xml"/><Relationship Id="rId10" Type="http://schemas.openxmlformats.org/officeDocument/2006/relationships/hyperlink" Target="https://sellercentral.amazon.de/gp/help/external/201003400" TargetMode="External"/><Relationship Id="rId4" Type="http://schemas.openxmlformats.org/officeDocument/2006/relationships/webSettings" Target="webSettings.xml"/><Relationship Id="rId9" Type="http://schemas.openxmlformats.org/officeDocument/2006/relationships/hyperlink" Target="https://vendorcentral.amazon.de/"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Melissa</dc:creator>
  <cp:keywords/>
  <dc:description/>
  <cp:lastModifiedBy>Clement, Melissa</cp:lastModifiedBy>
  <cp:revision>2</cp:revision>
  <dcterms:created xsi:type="dcterms:W3CDTF">2023-03-20T22:37:00Z</dcterms:created>
  <dcterms:modified xsi:type="dcterms:W3CDTF">2023-03-20T22:37:00Z</dcterms:modified>
</cp:coreProperties>
</file>